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B1AFF">
      <w:pPr>
        <w:spacing w:after="400" w:line="400" w:lineRule="atLeast"/>
        <w:jc w:val="center"/>
      </w:pPr>
      <w:r>
        <w:rPr>
          <w:b/>
          <w:sz w:val="39"/>
        </w:rPr>
        <w:t>Product Specification</w:t>
      </w:r>
    </w:p>
    <w:p w14:paraId="1D6A217A">
      <w:pPr>
        <w:spacing w:after="400" w:line="400" w:lineRule="atLeast"/>
      </w:pPr>
      <w:r>
        <w:rPr>
          <w:b/>
        </w:rPr>
        <w:t>Company:</w:t>
      </w:r>
      <w:r>
        <w:t xml:space="preserve"> Wushi County Sunshine Agricultural Products Co., Ltd.</w:t>
      </w:r>
    </w:p>
    <w:p w14:paraId="65B473FF">
      <w:pPr>
        <w:spacing w:after="400" w:line="400" w:lineRule="atLeast"/>
      </w:pPr>
      <w:r>
        <w:rPr>
          <w:b/>
        </w:rPr>
        <w:t>Product Category:</w:t>
      </w:r>
      <w:r>
        <w:t xml:space="preserve"> </w:t>
      </w:r>
      <w:bookmarkStart w:id="0" w:name="_GoBack"/>
      <w:r>
        <w:t>Wholesale Seasonings &amp; Spices</w:t>
      </w:r>
    </w:p>
    <w:bookmarkEnd w:id="0"/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2"/>
        <w:gridCol w:w="1417"/>
        <w:gridCol w:w="1382"/>
        <w:gridCol w:w="1382"/>
      </w:tblGrid>
      <w:tr w14:paraId="2501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656AD996">
            <w:pPr>
              <w:spacing w:after="400" w:line="400" w:lineRule="exact"/>
            </w:pPr>
            <w:r>
              <w:rPr>
                <w:b/>
              </w:rPr>
              <w:t>Product</w:t>
            </w:r>
          </w:p>
        </w:tc>
        <w:tc>
          <w:tcPr>
            <w:tcW w:w="1382" w:type="dxa"/>
          </w:tcPr>
          <w:p w14:paraId="4546B4C2">
            <w:pPr>
              <w:spacing w:after="400" w:line="400" w:lineRule="exact"/>
            </w:pPr>
            <w:r>
              <w:rPr>
                <w:b/>
              </w:rPr>
              <w:t>Premium Grade Rate</w:t>
            </w:r>
          </w:p>
        </w:tc>
        <w:tc>
          <w:tcPr>
            <w:tcW w:w="1382" w:type="dxa"/>
          </w:tcPr>
          <w:p w14:paraId="1977B749">
            <w:pPr>
              <w:spacing w:after="400" w:line="400" w:lineRule="exact"/>
            </w:pPr>
            <w:r>
              <w:rPr>
                <w:b/>
              </w:rPr>
              <w:t>Imperfect Rate</w:t>
            </w:r>
          </w:p>
        </w:tc>
        <w:tc>
          <w:tcPr>
            <w:tcW w:w="1382" w:type="dxa"/>
          </w:tcPr>
          <w:p w14:paraId="3B5D1ED9">
            <w:pPr>
              <w:spacing w:after="400" w:line="400" w:lineRule="exact"/>
            </w:pPr>
            <w:r>
              <w:rPr>
                <w:b/>
              </w:rPr>
              <w:t>Packaging Specifications</w:t>
            </w:r>
          </w:p>
        </w:tc>
        <w:tc>
          <w:tcPr>
            <w:tcW w:w="1382" w:type="dxa"/>
          </w:tcPr>
          <w:p w14:paraId="2D1F65FB">
            <w:pPr>
              <w:spacing w:after="400" w:line="400" w:lineRule="exact"/>
            </w:pPr>
            <w:r>
              <w:rPr>
                <w:b/>
              </w:rPr>
              <w:t>Storage Method</w:t>
            </w:r>
          </w:p>
        </w:tc>
        <w:tc>
          <w:tcPr>
            <w:tcW w:w="1382" w:type="dxa"/>
          </w:tcPr>
          <w:p w14:paraId="38C651F1">
            <w:pPr>
              <w:spacing w:after="400" w:line="400" w:lineRule="exact"/>
            </w:pPr>
            <w:r>
              <w:rPr>
                <w:b/>
              </w:rPr>
              <w:t>International Certifications</w:t>
            </w:r>
          </w:p>
        </w:tc>
      </w:tr>
      <w:tr w14:paraId="1B907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45013508">
            <w:pPr>
              <w:spacing w:after="400" w:line="400" w:lineRule="exact"/>
            </w:pPr>
            <w:r>
              <w:rPr>
                <w:b/>
              </w:rPr>
              <w:t>Wholesale Cumin</w:t>
            </w:r>
          </w:p>
        </w:tc>
        <w:tc>
          <w:tcPr>
            <w:tcW w:w="1382" w:type="dxa"/>
          </w:tcPr>
          <w:p w14:paraId="4E505042">
            <w:pPr>
              <w:spacing w:after="400" w:line="400" w:lineRule="exact"/>
            </w:pPr>
            <w:r>
              <w:t>≥9</w:t>
            </w:r>
            <w:r>
              <w:rPr>
                <w:rFonts w:hint="eastAsia"/>
                <w:lang w:val="en-US" w:eastAsia="zh-CN"/>
              </w:rPr>
              <w:t>9</w:t>
            </w:r>
            <w:r>
              <w:t>%</w:t>
            </w:r>
          </w:p>
        </w:tc>
        <w:tc>
          <w:tcPr>
            <w:tcW w:w="1382" w:type="dxa"/>
          </w:tcPr>
          <w:p w14:paraId="2365716D">
            <w:pPr>
              <w:spacing w:after="400" w:line="400" w:lineRule="exact"/>
            </w:pPr>
            <w:r>
              <w:t>≤</w:t>
            </w:r>
            <w:r>
              <w:rPr>
                <w:rFonts w:hint="eastAsia"/>
                <w:lang w:val="en-US" w:eastAsia="zh-CN"/>
              </w:rPr>
              <w:t>1</w:t>
            </w:r>
            <w:r>
              <w:t>%</w:t>
            </w:r>
          </w:p>
        </w:tc>
        <w:tc>
          <w:tcPr>
            <w:tcW w:w="1382" w:type="dxa"/>
          </w:tcPr>
          <w:p w14:paraId="102572F1">
            <w:pPr>
              <w:spacing w:after="400" w:line="400" w:lineRule="exact"/>
            </w:pPr>
            <w:r>
              <w:t xml:space="preserve">25kg woven bags, 10kg vacuum-sealed packs </w:t>
            </w:r>
          </w:p>
        </w:tc>
        <w:tc>
          <w:tcPr>
            <w:tcW w:w="1382" w:type="dxa"/>
          </w:tcPr>
          <w:p w14:paraId="6AEAB2C9">
            <w:pPr>
              <w:spacing w:after="400" w:line="400" w:lineRule="exact"/>
            </w:pPr>
            <w:r>
              <w:t>Store in cool, dry conditions (&lt;25°C)</w:t>
            </w:r>
          </w:p>
        </w:tc>
        <w:tc>
          <w:tcPr>
            <w:tcW w:w="1382" w:type="dxa"/>
          </w:tcPr>
          <w:p w14:paraId="7721AAF5">
            <w:pPr>
              <w:spacing w:after="400" w:line="400" w:lineRule="exact"/>
            </w:pPr>
            <w:r>
              <w:t>HACCP, ISO 22000</w:t>
            </w:r>
          </w:p>
        </w:tc>
      </w:tr>
      <w:tr w14:paraId="33ED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1A2EB520">
            <w:pPr>
              <w:spacing w:after="400" w:line="400" w:lineRule="exact"/>
            </w:pPr>
            <w:r>
              <w:rPr>
                <w:b/>
              </w:rPr>
              <w:t>Wholesale Fennel</w:t>
            </w:r>
          </w:p>
        </w:tc>
        <w:tc>
          <w:tcPr>
            <w:tcW w:w="1382" w:type="dxa"/>
          </w:tcPr>
          <w:p w14:paraId="33319049">
            <w:pPr>
              <w:spacing w:after="400" w:line="400" w:lineRule="exact"/>
            </w:pPr>
            <w:r>
              <w:t>≥9</w:t>
            </w:r>
            <w:r>
              <w:rPr>
                <w:rFonts w:hint="eastAsia"/>
                <w:lang w:val="en-US" w:eastAsia="zh-CN"/>
              </w:rPr>
              <w:t>9</w:t>
            </w:r>
            <w:r>
              <w:t>%</w:t>
            </w:r>
          </w:p>
        </w:tc>
        <w:tc>
          <w:tcPr>
            <w:tcW w:w="1382" w:type="dxa"/>
          </w:tcPr>
          <w:p w14:paraId="7BA6C8D6">
            <w:pPr>
              <w:spacing w:after="400" w:line="400" w:lineRule="exact"/>
            </w:pPr>
            <w:r>
              <w:t>≤</w:t>
            </w:r>
            <w:r>
              <w:rPr>
                <w:rFonts w:hint="eastAsia"/>
                <w:lang w:val="en-US" w:eastAsia="zh-CN"/>
              </w:rPr>
              <w:t>1</w:t>
            </w:r>
            <w:r>
              <w:t>%</w:t>
            </w:r>
          </w:p>
        </w:tc>
        <w:tc>
          <w:tcPr>
            <w:tcW w:w="1382" w:type="dxa"/>
          </w:tcPr>
          <w:p w14:paraId="33E1816F">
            <w:pPr>
              <w:spacing w:after="400" w:line="400" w:lineRule="exact"/>
            </w:pPr>
            <w:r>
              <w:t>20kg jute bags, 5kg food-grade poly bags</w:t>
            </w:r>
          </w:p>
        </w:tc>
        <w:tc>
          <w:tcPr>
            <w:tcW w:w="1382" w:type="dxa"/>
          </w:tcPr>
          <w:p w14:paraId="4EE33628">
            <w:pPr>
              <w:spacing w:after="400" w:line="400" w:lineRule="exact"/>
            </w:pPr>
            <w:r>
              <w:t xml:space="preserve">Avoid humidity; keep away from sunlight </w:t>
            </w:r>
          </w:p>
        </w:tc>
        <w:tc>
          <w:tcPr>
            <w:tcW w:w="1382" w:type="dxa"/>
          </w:tcPr>
          <w:p w14:paraId="398D26E2">
            <w:pPr>
              <w:spacing w:after="400" w:line="400" w:lineRule="exact"/>
            </w:pPr>
            <w:r>
              <w:t>HACCP, BRC Global Standard</w:t>
            </w:r>
          </w:p>
        </w:tc>
      </w:tr>
      <w:tr w14:paraId="5012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0A018C65">
            <w:pPr>
              <w:spacing w:after="400" w:line="400" w:lineRule="exact"/>
            </w:pPr>
            <w:r>
              <w:rPr>
                <w:b/>
              </w:rPr>
              <w:t>Wholesale Star Anise</w:t>
            </w:r>
          </w:p>
        </w:tc>
        <w:tc>
          <w:tcPr>
            <w:tcW w:w="1382" w:type="dxa"/>
          </w:tcPr>
          <w:p w14:paraId="56998148">
            <w:pPr>
              <w:spacing w:after="400" w:line="400" w:lineRule="exact"/>
            </w:pPr>
            <w:r>
              <w:t>≥9</w:t>
            </w:r>
            <w:r>
              <w:rPr>
                <w:rFonts w:hint="eastAsia"/>
                <w:lang w:val="en-US" w:eastAsia="zh-CN"/>
              </w:rPr>
              <w:t>9</w:t>
            </w:r>
            <w:r>
              <w:t>%</w:t>
            </w:r>
          </w:p>
        </w:tc>
        <w:tc>
          <w:tcPr>
            <w:tcW w:w="1382" w:type="dxa"/>
          </w:tcPr>
          <w:p w14:paraId="253009D8">
            <w:pPr>
              <w:spacing w:after="400" w:line="400" w:lineRule="exact"/>
            </w:pPr>
            <w:r>
              <w:t>≤</w:t>
            </w:r>
            <w:r>
              <w:rPr>
                <w:rFonts w:hint="eastAsia"/>
                <w:lang w:val="en-US" w:eastAsia="zh-CN"/>
              </w:rPr>
              <w:t>1</w:t>
            </w:r>
            <w:r>
              <w:t>%</w:t>
            </w:r>
          </w:p>
        </w:tc>
        <w:tc>
          <w:tcPr>
            <w:tcW w:w="1382" w:type="dxa"/>
          </w:tcPr>
          <w:p w14:paraId="48B96CA5">
            <w:pPr>
              <w:spacing w:after="400" w:line="400" w:lineRule="exact"/>
            </w:pPr>
            <w:r>
              <w:t>15kg carton boxes, 1kg resealable pouches</w:t>
            </w:r>
          </w:p>
        </w:tc>
        <w:tc>
          <w:tcPr>
            <w:tcW w:w="1382" w:type="dxa"/>
          </w:tcPr>
          <w:p w14:paraId="04519A3E">
            <w:pPr>
              <w:spacing w:after="400" w:line="400" w:lineRule="exact"/>
            </w:pPr>
            <w:r>
              <w:t>Ventilated environment; no direct heat</w:t>
            </w:r>
          </w:p>
        </w:tc>
        <w:tc>
          <w:tcPr>
            <w:tcW w:w="1382" w:type="dxa"/>
          </w:tcPr>
          <w:p w14:paraId="62DD7B17">
            <w:pPr>
              <w:spacing w:after="400" w:line="400" w:lineRule="exact"/>
            </w:pPr>
            <w:r>
              <w:t xml:space="preserve">HACCP, QS Certification </w:t>
            </w:r>
          </w:p>
        </w:tc>
      </w:tr>
      <w:tr w14:paraId="3218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2FD3666F">
            <w:pPr>
              <w:spacing w:after="400" w:line="400" w:lineRule="exact"/>
            </w:pPr>
            <w:r>
              <w:rPr>
                <w:b/>
              </w:rPr>
              <w:t>Wholesale Cassia</w:t>
            </w:r>
          </w:p>
        </w:tc>
        <w:tc>
          <w:tcPr>
            <w:tcW w:w="1382" w:type="dxa"/>
          </w:tcPr>
          <w:p w14:paraId="2028C2B0">
            <w:pPr>
              <w:spacing w:after="400" w:line="400" w:lineRule="exact"/>
            </w:pPr>
            <w:r>
              <w:t>≥9</w:t>
            </w:r>
            <w:r>
              <w:rPr>
                <w:rFonts w:hint="eastAsia"/>
                <w:lang w:val="en-US" w:eastAsia="zh-CN"/>
              </w:rPr>
              <w:t>9</w:t>
            </w:r>
            <w:r>
              <w:t>%</w:t>
            </w:r>
          </w:p>
        </w:tc>
        <w:tc>
          <w:tcPr>
            <w:tcW w:w="1382" w:type="dxa"/>
          </w:tcPr>
          <w:p w14:paraId="7DDE6B90">
            <w:pPr>
              <w:spacing w:after="400" w:line="400" w:lineRule="exact"/>
            </w:pPr>
            <w:r>
              <w:t>≤</w:t>
            </w:r>
            <w:r>
              <w:rPr>
                <w:rFonts w:hint="eastAsia"/>
                <w:lang w:val="en-US" w:eastAsia="zh-CN"/>
              </w:rPr>
              <w:t>1</w:t>
            </w:r>
            <w:r>
              <w:t>%</w:t>
            </w:r>
          </w:p>
        </w:tc>
        <w:tc>
          <w:tcPr>
            <w:tcW w:w="1382" w:type="dxa"/>
          </w:tcPr>
          <w:p w14:paraId="0B05A8F0">
            <w:pPr>
              <w:spacing w:after="400" w:line="400" w:lineRule="exact"/>
              <w:rPr>
                <w:rFonts w:hint="eastAsia" w:eastAsia="宋体"/>
                <w:lang w:eastAsia="zh-CN"/>
              </w:rPr>
            </w:pPr>
            <w:r>
              <w:t xml:space="preserve">30kg bulk sacks, 500g retail packs </w:t>
            </w:r>
          </w:p>
        </w:tc>
        <w:tc>
          <w:tcPr>
            <w:tcW w:w="1382" w:type="dxa"/>
          </w:tcPr>
          <w:p w14:paraId="6BCBEF75">
            <w:pPr>
              <w:spacing w:after="400" w:line="400" w:lineRule="exact"/>
            </w:pPr>
            <w:r>
              <w:t xml:space="preserve">Maintain temperature below 20°C </w:t>
            </w:r>
          </w:p>
        </w:tc>
        <w:tc>
          <w:tcPr>
            <w:tcW w:w="1382" w:type="dxa"/>
          </w:tcPr>
          <w:p w14:paraId="0DE2FAF6">
            <w:pPr>
              <w:spacing w:after="400" w:line="400" w:lineRule="exact"/>
              <w:rPr>
                <w:rFonts w:hint="default" w:eastAsia="宋体"/>
                <w:lang w:val="en-US" w:eastAsia="zh-CN"/>
              </w:rPr>
            </w:pPr>
            <w:r>
              <w:t xml:space="preserve">HACCP, </w:t>
            </w:r>
            <w:r>
              <w:rPr>
                <w:rFonts w:hint="eastAsia"/>
                <w:lang w:val="en-US" w:eastAsia="zh-CN"/>
              </w:rPr>
              <w:t>HALA</w:t>
            </w:r>
          </w:p>
        </w:tc>
      </w:tr>
    </w:tbl>
    <w:p w14:paraId="237202DD">
      <w:pPr>
        <w:spacing w:before="400" w:after="400" w:line="400" w:lineRule="atLeast"/>
      </w:pPr>
      <w:r>
        <w:rPr>
          <w:b/>
          <w:sz w:val="30"/>
        </w:rPr>
        <w:t>Key Notes:</w:t>
      </w:r>
    </w:p>
    <w:p w14:paraId="5F7AB72B">
      <w:pPr>
        <w:numPr>
          <w:ilvl w:val="0"/>
          <w:numId w:val="1"/>
        </w:numPr>
        <w:spacing w:after="400" w:line="400" w:lineRule="atLeast"/>
      </w:pPr>
      <w:r>
        <w:rPr>
          <w:b/>
        </w:rPr>
        <w:t>Quality Standards:</w:t>
      </w:r>
    </w:p>
    <w:p w14:paraId="476D3DC8">
      <w:pPr>
        <w:numPr>
          <w:ilvl w:val="0"/>
          <w:numId w:val="2"/>
        </w:numPr>
        <w:spacing w:after="400" w:line="400" w:lineRule="atLeast"/>
      </w:pPr>
      <w:r>
        <w:rPr>
          <w:b/>
        </w:rPr>
        <w:t>Premium Grade Rate:</w:t>
      </w:r>
      <w:r>
        <w:t xml:space="preserve"> Reflects strict sorting and cleaning processes, ensuring minimal impurities</w:t>
      </w:r>
      <w:r>
        <w:rPr>
          <w:rFonts w:hint="eastAsia"/>
          <w:lang w:val="en-US" w:eastAsia="zh-CN"/>
        </w:rPr>
        <w:t>.</w:t>
      </w:r>
    </w:p>
    <w:p w14:paraId="74C93A89">
      <w:pPr>
        <w:numPr>
          <w:ilvl w:val="0"/>
          <w:numId w:val="2"/>
        </w:numPr>
        <w:spacing w:after="400" w:line="400" w:lineRule="atLeast"/>
      </w:pPr>
      <w:r>
        <w:rPr>
          <w:b/>
        </w:rPr>
        <w:t>Imperfect Rate:</w:t>
      </w:r>
      <w:r>
        <w:t xml:space="preserve"> Includes broken pieces, discoloration, or residual stems, controlled via mechanical sieving and manual inspection</w:t>
      </w:r>
      <w:r>
        <w:rPr>
          <w:rFonts w:hint="eastAsia"/>
          <w:lang w:val="en-US" w:eastAsia="zh-CN"/>
        </w:rPr>
        <w:t>.</w:t>
      </w:r>
    </w:p>
    <w:p w14:paraId="0BB15177">
      <w:pPr>
        <w:numPr>
          <w:ilvl w:val="0"/>
          <w:numId w:val="1"/>
        </w:numPr>
        <w:spacing w:after="400" w:line="400" w:lineRule="atLeast"/>
      </w:pPr>
      <w:r>
        <w:rPr>
          <w:b/>
        </w:rPr>
        <w:t>Packaging:</w:t>
      </w:r>
    </w:p>
    <w:p w14:paraId="0DC14FA8">
      <w:pPr>
        <w:numPr>
          <w:ilvl w:val="0"/>
          <w:numId w:val="2"/>
        </w:numPr>
        <w:spacing w:after="400" w:line="400" w:lineRule="atLeast"/>
      </w:pPr>
      <w:r>
        <w:t>Customizable packaging options available (e.g., vacuum sealing for extended shelf life)</w:t>
      </w:r>
      <w:r>
        <w:rPr>
          <w:rFonts w:hint="eastAsia"/>
          <w:lang w:val="en-US" w:eastAsia="zh-CN"/>
        </w:rPr>
        <w:t>.</w:t>
      </w:r>
    </w:p>
    <w:p w14:paraId="32DBB10F">
      <w:pPr>
        <w:numPr>
          <w:ilvl w:val="0"/>
          <w:numId w:val="2"/>
        </w:numPr>
        <w:spacing w:after="400" w:line="400" w:lineRule="atLeast"/>
      </w:pPr>
      <w:r>
        <w:t>Compliant with food-grade material standards for international exports</w:t>
      </w:r>
      <w:r>
        <w:rPr>
          <w:rFonts w:hint="eastAsia"/>
          <w:lang w:val="en-US" w:eastAsia="zh-CN"/>
        </w:rPr>
        <w:t>.</w:t>
      </w:r>
    </w:p>
    <w:p w14:paraId="66A259F9">
      <w:pPr>
        <w:numPr>
          <w:ilvl w:val="0"/>
          <w:numId w:val="1"/>
        </w:numPr>
        <w:spacing w:after="400" w:line="400" w:lineRule="atLeast"/>
      </w:pPr>
      <w:r>
        <w:rPr>
          <w:b/>
        </w:rPr>
        <w:t>Certifications:</w:t>
      </w:r>
    </w:p>
    <w:p w14:paraId="4165B241">
      <w:pPr>
        <w:numPr>
          <w:ilvl w:val="0"/>
          <w:numId w:val="2"/>
        </w:numPr>
        <w:spacing w:after="400" w:line="400" w:lineRule="atLeast"/>
      </w:pPr>
      <w:r>
        <w:rPr>
          <w:b/>
        </w:rPr>
        <w:t>HACCP:</w:t>
      </w:r>
      <w:r>
        <w:t xml:space="preserve"> Hazard Analysis Critical Control Point certified across all spice products</w:t>
      </w:r>
      <w:r>
        <w:rPr>
          <w:rFonts w:hint="eastAsia"/>
          <w:lang w:val="en-US" w:eastAsia="zh-CN"/>
        </w:rPr>
        <w:t>.</w:t>
      </w:r>
    </w:p>
    <w:p w14:paraId="7185B9E6">
      <w:pPr>
        <w:numPr>
          <w:ilvl w:val="0"/>
          <w:numId w:val="2"/>
        </w:numPr>
        <w:spacing w:after="400" w:line="400" w:lineRule="atLeast"/>
      </w:pPr>
      <w:r>
        <w:rPr>
          <w:b/>
        </w:rPr>
        <w:t>BRC/ISO 22000:</w:t>
      </w:r>
      <w:r>
        <w:t xml:space="preserve"> Adherence to global food safety protocols for manufacturing and storage</w:t>
      </w:r>
      <w:r>
        <w:rPr>
          <w:rFonts w:hint="eastAsia"/>
          <w:lang w:val="en-US" w:eastAsia="zh-CN"/>
        </w:rPr>
        <w:t>.</w:t>
      </w:r>
    </w:p>
    <w:p w14:paraId="6655E510">
      <w:pPr>
        <w:numPr>
          <w:ilvl w:val="0"/>
          <w:numId w:val="1"/>
        </w:numPr>
        <w:spacing w:after="400" w:line="400" w:lineRule="atLeast"/>
      </w:pPr>
      <w:r>
        <w:rPr>
          <w:b/>
        </w:rPr>
        <w:t>Storage Recommendations:</w:t>
      </w:r>
    </w:p>
    <w:p w14:paraId="4DF90537">
      <w:pPr>
        <w:numPr>
          <w:ilvl w:val="0"/>
          <w:numId w:val="2"/>
        </w:numPr>
        <w:spacing w:after="400" w:line="400" w:lineRule="atLeast"/>
      </w:pPr>
      <w:r>
        <w:t>Shelf life: 12–18 months when stored properly</w:t>
      </w:r>
      <w:r>
        <w:rPr>
          <w:rFonts w:hint="eastAsia"/>
          <w:lang w:val="en-US" w:eastAsia="zh-CN"/>
        </w:rPr>
        <w:t>.</w:t>
      </w:r>
    </w:p>
    <w:p w14:paraId="4D4E9D88">
      <w:pPr>
        <w:numPr>
          <w:ilvl w:val="0"/>
          <w:numId w:val="2"/>
        </w:numPr>
        <w:spacing w:after="400" w:line="400" w:lineRule="atLeast"/>
      </w:pPr>
      <w:r>
        <w:t>Avoid exposure to moisture or strong odors to preserve aroma and flavor</w:t>
      </w:r>
      <w:r>
        <w:rPr>
          <w:rFonts w:hint="eastAsia"/>
          <w:lang w:val="en-US" w:eastAsia="zh-CN"/>
        </w:rPr>
        <w:t>.</w:t>
      </w:r>
    </w:p>
    <w:p w14:paraId="5DF9B27F">
      <w:pPr>
        <w:spacing w:after="200" w:line="400" w:lineRule="atLeas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6046E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suff w:val="nothing"/>
      <w:lvlText w:val=""/>
      <w:lvlJc w:val="left"/>
      <w:rPr>
        <w:rFonts w:hint="default" w:ascii="Wingdings" w:hAnsi="Wingdings"/>
      </w:rPr>
    </w:lvl>
    <w:lvl w:ilvl="1" w:tentative="0">
      <w:start w:val="1"/>
      <w:numFmt w:val="bullet"/>
      <w:suff w:val="nothing"/>
      <w:lvlText w:val=""/>
      <w:lvlJc w:val="left"/>
      <w:pPr>
        <w:ind w:left="210"/>
      </w:pPr>
      <w:rPr>
        <w:rFonts w:hint="default" w:ascii="Wingdings" w:hAnsi="Wingdings"/>
      </w:rPr>
    </w:lvl>
    <w:lvl w:ilvl="2" w:tentative="0">
      <w:start w:val="1"/>
      <w:numFmt w:val="bullet"/>
      <w:suff w:val="nothing"/>
      <w:lvlText w:val=""/>
      <w:lvlJc w:val="left"/>
      <w:pPr>
        <w:ind w:left="420"/>
      </w:pPr>
      <w:rPr>
        <w:rFonts w:hint="default" w:ascii="Wingdings" w:hAnsi="Wingdings"/>
      </w:rPr>
    </w:lvl>
    <w:lvl w:ilvl="3" w:tentative="0">
      <w:start w:val="1"/>
      <w:numFmt w:val="bullet"/>
      <w:suff w:val="nothing"/>
      <w:lvlText w:val=""/>
      <w:lvlJc w:val="left"/>
      <w:pPr>
        <w:ind w:left="630"/>
      </w:pPr>
      <w:rPr>
        <w:rFonts w:hint="default" w:ascii="Wingdings" w:hAnsi="Wingdings"/>
      </w:rPr>
    </w:lvl>
    <w:lvl w:ilvl="4" w:tentative="0">
      <w:start w:val="1"/>
      <w:numFmt w:val="bullet"/>
      <w:suff w:val="nothing"/>
      <w:lvlText w:val=""/>
      <w:lvlJc w:val="left"/>
      <w:pPr>
        <w:ind w:left="840"/>
      </w:pPr>
      <w:rPr>
        <w:rFonts w:hint="default" w:ascii="Wingdings" w:hAnsi="Wingdings"/>
      </w:rPr>
    </w:lvl>
    <w:lvl w:ilvl="5" w:tentative="0">
      <w:start w:val="1"/>
      <w:numFmt w:val="bullet"/>
      <w:suff w:val="nothing"/>
      <w:lvlText w:val=""/>
      <w:lvlJc w:val="left"/>
      <w:pPr>
        <w:ind w:left="1050"/>
      </w:pPr>
      <w:rPr>
        <w:rFonts w:hint="default" w:ascii="Wingdings" w:hAnsi="Wingdings"/>
      </w:rPr>
    </w:lvl>
    <w:lvl w:ilvl="6" w:tentative="0">
      <w:start w:val="1"/>
      <w:numFmt w:val="bullet"/>
      <w:suff w:val="nothing"/>
      <w:lvlText w:val=""/>
      <w:lvlJc w:val="left"/>
      <w:pPr>
        <w:ind w:left="1260"/>
      </w:pPr>
      <w:rPr>
        <w:rFonts w:hint="default" w:ascii="Wingdings" w:hAnsi="Wingdings"/>
      </w:rPr>
    </w:lvl>
    <w:lvl w:ilvl="7" w:tentative="0">
      <w:start w:val="1"/>
      <w:numFmt w:val="bullet"/>
      <w:suff w:val="nothing"/>
      <w:lvlText w:val=""/>
      <w:lvlJc w:val="left"/>
      <w:pPr>
        <w:ind w:left="1470"/>
      </w:pPr>
      <w:rPr>
        <w:rFonts w:hint="default" w:ascii="Wingdings" w:hAnsi="Wingdings"/>
      </w:rPr>
    </w:lvl>
    <w:lvl w:ilvl="8" w:tentative="0">
      <w:start w:val="1"/>
      <w:numFmt w:val="bullet"/>
      <w:suff w:val="nothing"/>
      <w:lvlText w:val=""/>
      <w:lvlJc w:val="left"/>
      <w:pPr>
        <w:ind w:left="1680"/>
      </w:pPr>
      <w:rPr>
        <w:rFonts w:hint="default" w:ascii="Wingdings" w:hAnsi="Wingding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suff w:val="nothing"/>
      <w:lvlText w:val="%1."/>
      <w:lvlJc w:val="left"/>
    </w:lvl>
    <w:lvl w:ilvl="1" w:tentative="0">
      <w:start w:val="1"/>
      <w:numFmt w:val="decimal"/>
      <w:suff w:val="nothing"/>
      <w:lvlText w:val="%1.%2."/>
      <w:lvlJc w:val="left"/>
    </w:lvl>
    <w:lvl w:ilvl="2" w:tentative="0">
      <w:start w:val="1"/>
      <w:numFmt w:val="decimal"/>
      <w:suff w:val="nothing"/>
      <w:lvlText w:val="%1.%2.%3."/>
      <w:lvlJc w:val="left"/>
    </w:lvl>
    <w:lvl w:ilvl="3" w:tentative="0">
      <w:start w:val="1"/>
      <w:numFmt w:val="decimal"/>
      <w:suff w:val="nothing"/>
      <w:lvlText w:val="%1.%2.%3.%4."/>
      <w:lvlJc w:val="left"/>
    </w:lvl>
    <w:lvl w:ilvl="4" w:tentative="0">
      <w:start w:val="1"/>
      <w:numFmt w:val="decimal"/>
      <w:suff w:val="nothing"/>
      <w:lvlText w:val="%1.%2.%3.%4.%5."/>
      <w:lvlJc w:val="left"/>
    </w:lvl>
    <w:lvl w:ilvl="5" w:tentative="0">
      <w:start w:val="1"/>
      <w:numFmt w:val="decimal"/>
      <w:suff w:val="nothing"/>
      <w:lvlText w:val="%1.%2.%3.%4.%5.%6."/>
      <w:lvlJc w:val="left"/>
    </w:lvl>
    <w:lvl w:ilvl="6" w:tentative="0">
      <w:start w:val="1"/>
      <w:numFmt w:val="decimal"/>
      <w:suff w:val="nothing"/>
      <w:lvlText w:val="%1.%2.%3.%4.%5.%6.%7."/>
      <w:lvlJc w:val="left"/>
    </w:lvl>
    <w:lvl w:ilvl="7" w:tentative="0">
      <w:start w:val="1"/>
      <w:numFmt w:val="decimal"/>
      <w:suff w:val="nothing"/>
      <w:lvlText w:val="%1.%2.%3.%4.%5.%6.%7.%8."/>
      <w:lvlJc w:val="left"/>
    </w:lvl>
    <w:lvl w:ilvl="8" w:tentative="0">
      <w:start w:val="1"/>
      <w:numFmt w:val="decimal"/>
      <w:suff w:val="nothing"/>
      <w:lvlText w:val="%1.%2.%3.%4.%5.%6.%7.%8.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7B3D4B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1210</Words>
  <Characters>3653</Characters>
  <TotalTime>2</TotalTime>
  <ScaleCrop>false</ScaleCrop>
  <LinksUpToDate>false</LinksUpToDate>
  <CharactersWithSpaces>4009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2025-04-14T07:47:58Z</dcterms:created>
  <dc:creator>86133</dc:creator>
  <cp:lastModifiedBy>尼伯龙根的指环</cp:lastModifiedBy>
  <dcterms:modified xsi:type="dcterms:W3CDTF">2025-04-14T07:50:37Z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eyJoZGlkIjoiM2Q2ZWVkYzI0ZGU1MTk1MTFiYzU5NTRjYTc3MDY2OGMiLCJ1c2VySWQiOiIzNDMwMTY1OTUifQ==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10B820336E6240358D7C6DC3EDBF60CF_12</vt:lpwstr>
  </property>
</Properties>
</file>